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105D" w14:textId="77777777" w:rsidR="005162D9" w:rsidRPr="00F466AD" w:rsidRDefault="005162D9">
      <w:pPr>
        <w:rPr>
          <w:rFonts w:ascii="Arial" w:hAnsi="Arial" w:cs="Arial"/>
        </w:rPr>
      </w:pPr>
    </w:p>
    <w:tbl>
      <w:tblPr>
        <w:tblpPr w:leftFromText="180" w:rightFromText="180" w:vertAnchor="text" w:tblpX="-612" w:tblpY="1"/>
        <w:tblOverlap w:val="neve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7960"/>
      </w:tblGrid>
      <w:tr w:rsidR="005162D9" w:rsidRPr="00F466AD" w14:paraId="41AD758A" w14:textId="77777777" w:rsidTr="00C06CCC">
        <w:trPr>
          <w:trHeight w:val="270"/>
        </w:trPr>
        <w:tc>
          <w:tcPr>
            <w:tcW w:w="2355" w:type="pct"/>
            <w:tcBorders>
              <w:top w:val="double" w:sz="4" w:space="0" w:color="auto"/>
              <w:left w:val="double" w:sz="4" w:space="0" w:color="auto"/>
              <w:bottom w:val="double" w:sz="4" w:space="0" w:color="auto"/>
              <w:right w:val="double" w:sz="4" w:space="0" w:color="auto"/>
            </w:tcBorders>
            <w:shd w:val="clear" w:color="auto" w:fill="F3F3F3"/>
          </w:tcPr>
          <w:p w14:paraId="2B7F6C5E" w14:textId="77777777" w:rsidR="005162D9" w:rsidRPr="00C06CCC" w:rsidRDefault="005162D9" w:rsidP="00C06CCC">
            <w:pPr>
              <w:rPr>
                <w:rFonts w:ascii="Arial" w:hAnsi="Arial" w:cs="Arial"/>
              </w:rPr>
            </w:pPr>
            <w:r w:rsidRPr="00C06CCC">
              <w:rPr>
                <w:rFonts w:ascii="Arial" w:hAnsi="Arial" w:cs="Arial"/>
              </w:rPr>
              <w:t>Aspect of Chief Officer Remuneration</w:t>
            </w:r>
          </w:p>
        </w:tc>
        <w:tc>
          <w:tcPr>
            <w:tcW w:w="2645" w:type="pct"/>
            <w:tcBorders>
              <w:top w:val="double" w:sz="4" w:space="0" w:color="auto"/>
              <w:left w:val="double" w:sz="4" w:space="0" w:color="auto"/>
              <w:bottom w:val="double" w:sz="4" w:space="0" w:color="auto"/>
              <w:right w:val="double" w:sz="4" w:space="0" w:color="auto"/>
            </w:tcBorders>
            <w:shd w:val="clear" w:color="auto" w:fill="F3F3F3"/>
          </w:tcPr>
          <w:p w14:paraId="526D2EE9" w14:textId="77777777" w:rsidR="005162D9" w:rsidRPr="00C06CCC" w:rsidRDefault="005162D9" w:rsidP="00C06CCC">
            <w:pPr>
              <w:rPr>
                <w:rFonts w:ascii="Arial" w:hAnsi="Arial" w:cs="Arial"/>
              </w:rPr>
            </w:pPr>
            <w:r w:rsidRPr="00C06CCC">
              <w:rPr>
                <w:rFonts w:ascii="Arial" w:hAnsi="Arial" w:cs="Arial"/>
              </w:rPr>
              <w:t>Authority Policy</w:t>
            </w:r>
          </w:p>
        </w:tc>
      </w:tr>
      <w:tr w:rsidR="005162D9" w:rsidRPr="00F466AD" w14:paraId="0345AB95" w14:textId="77777777" w:rsidTr="00C06CCC">
        <w:trPr>
          <w:trHeight w:val="270"/>
        </w:trPr>
        <w:tc>
          <w:tcPr>
            <w:tcW w:w="2355" w:type="pct"/>
            <w:tcBorders>
              <w:top w:val="double" w:sz="4" w:space="0" w:color="auto"/>
            </w:tcBorders>
          </w:tcPr>
          <w:p w14:paraId="36830141" w14:textId="77777777" w:rsidR="005162D9" w:rsidRPr="00C06CCC" w:rsidRDefault="005162D9" w:rsidP="00C06CCC">
            <w:pPr>
              <w:rPr>
                <w:rFonts w:ascii="Arial" w:hAnsi="Arial" w:cs="Arial"/>
              </w:rPr>
            </w:pPr>
            <w:r w:rsidRPr="00C06CCC">
              <w:rPr>
                <w:rFonts w:ascii="Arial" w:hAnsi="Arial" w:cs="Arial"/>
              </w:rPr>
              <w:t>Recruitment</w:t>
            </w:r>
          </w:p>
        </w:tc>
        <w:tc>
          <w:tcPr>
            <w:tcW w:w="2645" w:type="pct"/>
            <w:tcBorders>
              <w:top w:val="double" w:sz="4" w:space="0" w:color="auto"/>
            </w:tcBorders>
          </w:tcPr>
          <w:p w14:paraId="5AD3F773" w14:textId="77777777" w:rsidR="005162D9" w:rsidRDefault="005162D9" w:rsidP="00D97910">
            <w:pPr>
              <w:rPr>
                <w:rFonts w:ascii="Arial" w:hAnsi="Arial" w:cs="Arial"/>
                <w:sz w:val="22"/>
                <w:szCs w:val="22"/>
              </w:rPr>
            </w:pPr>
            <w:r w:rsidRPr="002666DE">
              <w:rPr>
                <w:rFonts w:ascii="Arial" w:hAnsi="Arial" w:cs="Arial"/>
                <w:sz w:val="22"/>
                <w:szCs w:val="22"/>
              </w:rPr>
              <w:t xml:space="preserve">The post will be advertised and appointed to </w:t>
            </w:r>
            <w:r w:rsidR="00D97910" w:rsidRPr="002666DE">
              <w:rPr>
                <w:rFonts w:ascii="Arial" w:hAnsi="Arial" w:cs="Arial"/>
                <w:sz w:val="22"/>
                <w:szCs w:val="22"/>
              </w:rPr>
              <w:t xml:space="preserve">a salary </w:t>
            </w:r>
            <w:r w:rsidR="00E84C48" w:rsidRPr="002666DE">
              <w:rPr>
                <w:rFonts w:ascii="Arial" w:hAnsi="Arial" w:cs="Arial"/>
                <w:sz w:val="22"/>
                <w:szCs w:val="22"/>
              </w:rPr>
              <w:t xml:space="preserve">within the range of the </w:t>
            </w:r>
            <w:r w:rsidRPr="002666DE">
              <w:rPr>
                <w:rFonts w:ascii="Arial" w:hAnsi="Arial" w:cs="Arial"/>
                <w:sz w:val="22"/>
                <w:szCs w:val="22"/>
              </w:rPr>
              <w:t>salar</w:t>
            </w:r>
            <w:r w:rsidR="00D97910" w:rsidRPr="002666DE">
              <w:rPr>
                <w:rFonts w:ascii="Arial" w:hAnsi="Arial" w:cs="Arial"/>
                <w:sz w:val="22"/>
                <w:szCs w:val="22"/>
              </w:rPr>
              <w:t xml:space="preserve">ies approved </w:t>
            </w:r>
            <w:r w:rsidRPr="002666DE">
              <w:rPr>
                <w:rFonts w:ascii="Arial" w:hAnsi="Arial" w:cs="Arial"/>
                <w:sz w:val="22"/>
                <w:szCs w:val="22"/>
              </w:rPr>
              <w:t xml:space="preserve">for the post in question unless there is good evidence that a successful appointment of a person with the required skills, knowledge, experience, </w:t>
            </w:r>
            <w:proofErr w:type="gramStart"/>
            <w:r w:rsidRPr="002666DE">
              <w:rPr>
                <w:rFonts w:ascii="Arial" w:hAnsi="Arial" w:cs="Arial"/>
                <w:sz w:val="22"/>
                <w:szCs w:val="22"/>
              </w:rPr>
              <w:t>abilities</w:t>
            </w:r>
            <w:proofErr w:type="gramEnd"/>
            <w:r w:rsidRPr="002666DE">
              <w:rPr>
                <w:rFonts w:ascii="Arial" w:hAnsi="Arial" w:cs="Arial"/>
                <w:sz w:val="22"/>
                <w:szCs w:val="22"/>
              </w:rPr>
              <w:t xml:space="preserve"> and qualities cannot be made without varying the remuneration package. In such circumstances a variation to the remuneration package is appropriate under the authority’s policy and any variation will be approved through the appropriate authority decision making process.</w:t>
            </w:r>
          </w:p>
          <w:p w14:paraId="10C8D2A5" w14:textId="77777777" w:rsidR="002666DE" w:rsidRPr="002666DE" w:rsidRDefault="002666DE" w:rsidP="00D97910">
            <w:pPr>
              <w:rPr>
                <w:rFonts w:ascii="Arial" w:hAnsi="Arial" w:cs="Arial"/>
                <w:sz w:val="22"/>
                <w:szCs w:val="22"/>
              </w:rPr>
            </w:pPr>
          </w:p>
        </w:tc>
      </w:tr>
      <w:tr w:rsidR="005162D9" w:rsidRPr="00F466AD" w14:paraId="7018A60C" w14:textId="77777777" w:rsidTr="00C06CCC">
        <w:trPr>
          <w:trHeight w:val="270"/>
        </w:trPr>
        <w:tc>
          <w:tcPr>
            <w:tcW w:w="2355" w:type="pct"/>
          </w:tcPr>
          <w:p w14:paraId="22D429FB" w14:textId="77777777" w:rsidR="005162D9" w:rsidRPr="00C06CCC" w:rsidRDefault="005162D9" w:rsidP="00C06CCC">
            <w:pPr>
              <w:rPr>
                <w:rFonts w:ascii="Arial" w:hAnsi="Arial" w:cs="Arial"/>
              </w:rPr>
            </w:pPr>
            <w:r w:rsidRPr="00C06CCC">
              <w:rPr>
                <w:rFonts w:ascii="Arial" w:hAnsi="Arial" w:cs="Arial"/>
              </w:rPr>
              <w:t>Pay Increases</w:t>
            </w:r>
          </w:p>
        </w:tc>
        <w:tc>
          <w:tcPr>
            <w:tcW w:w="2645" w:type="pct"/>
          </w:tcPr>
          <w:p w14:paraId="405B342A" w14:textId="77777777" w:rsidR="005162D9" w:rsidRDefault="005162D9" w:rsidP="00C06CCC">
            <w:pPr>
              <w:rPr>
                <w:rFonts w:ascii="Arial" w:hAnsi="Arial" w:cs="Arial"/>
                <w:sz w:val="22"/>
                <w:szCs w:val="22"/>
              </w:rPr>
            </w:pPr>
            <w:r w:rsidRPr="002666DE">
              <w:rPr>
                <w:rFonts w:ascii="Arial" w:hAnsi="Arial" w:cs="Arial"/>
                <w:sz w:val="22"/>
                <w:szCs w:val="22"/>
              </w:rPr>
              <w:t xml:space="preserve">The authority will apply any pay increases that are agreed by relevant national negotiating bodies and/or any pay increases that are agreed through local negotiations. The authority will also apply any pay increases that are </w:t>
            </w:r>
            <w:proofErr w:type="gramStart"/>
            <w:r w:rsidRPr="002666DE">
              <w:rPr>
                <w:rFonts w:ascii="Arial" w:hAnsi="Arial" w:cs="Arial"/>
                <w:sz w:val="22"/>
                <w:szCs w:val="22"/>
              </w:rPr>
              <w:t>as a result of</w:t>
            </w:r>
            <w:proofErr w:type="gramEnd"/>
            <w:r w:rsidRPr="002666DE">
              <w:rPr>
                <w:rFonts w:ascii="Arial" w:hAnsi="Arial" w:cs="Arial"/>
                <w:sz w:val="22"/>
                <w:szCs w:val="22"/>
              </w:rPr>
              <w:t xml:space="preserve"> authority decisions to significantly increase the duties and responsibilities of the post in question beyond the normal flexing of duties and responsibilities that are expected in senior posts.</w:t>
            </w:r>
          </w:p>
          <w:p w14:paraId="05ECFFA9" w14:textId="77777777" w:rsidR="002666DE" w:rsidRPr="002666DE" w:rsidRDefault="002666DE" w:rsidP="00C06CCC">
            <w:pPr>
              <w:rPr>
                <w:rFonts w:ascii="Arial" w:hAnsi="Arial" w:cs="Arial"/>
                <w:sz w:val="22"/>
                <w:szCs w:val="22"/>
              </w:rPr>
            </w:pPr>
          </w:p>
        </w:tc>
      </w:tr>
      <w:tr w:rsidR="005162D9" w:rsidRPr="00F466AD" w14:paraId="406E18B3" w14:textId="77777777" w:rsidTr="00C06CCC">
        <w:trPr>
          <w:trHeight w:val="270"/>
        </w:trPr>
        <w:tc>
          <w:tcPr>
            <w:tcW w:w="2355" w:type="pct"/>
          </w:tcPr>
          <w:p w14:paraId="7CA70847" w14:textId="77777777" w:rsidR="005162D9" w:rsidRPr="00C06CCC" w:rsidRDefault="005162D9" w:rsidP="00C06CCC">
            <w:pPr>
              <w:rPr>
                <w:rFonts w:ascii="Arial" w:hAnsi="Arial" w:cs="Arial"/>
              </w:rPr>
            </w:pPr>
            <w:r w:rsidRPr="00C06CCC">
              <w:rPr>
                <w:rFonts w:ascii="Arial" w:hAnsi="Arial" w:cs="Arial"/>
              </w:rPr>
              <w:t>Additions To Pay</w:t>
            </w:r>
          </w:p>
        </w:tc>
        <w:tc>
          <w:tcPr>
            <w:tcW w:w="2645" w:type="pct"/>
          </w:tcPr>
          <w:p w14:paraId="2EF5779E" w14:textId="77777777" w:rsidR="005162D9" w:rsidRDefault="005162D9" w:rsidP="00C06CCC">
            <w:pPr>
              <w:rPr>
                <w:rFonts w:ascii="Arial" w:hAnsi="Arial" w:cs="Arial"/>
                <w:sz w:val="22"/>
                <w:szCs w:val="22"/>
              </w:rPr>
            </w:pPr>
            <w:r w:rsidRPr="002666DE">
              <w:rPr>
                <w:rFonts w:ascii="Arial" w:hAnsi="Arial" w:cs="Arial"/>
                <w:sz w:val="22"/>
                <w:szCs w:val="22"/>
              </w:rPr>
              <w:t>The authority would not make additional payments beyond those specified in the contract of employment.</w:t>
            </w:r>
          </w:p>
          <w:p w14:paraId="19FAAA90" w14:textId="77777777" w:rsidR="002666DE" w:rsidRPr="002666DE" w:rsidRDefault="002666DE" w:rsidP="00C06CCC">
            <w:pPr>
              <w:rPr>
                <w:rFonts w:ascii="Arial" w:hAnsi="Arial" w:cs="Arial"/>
                <w:sz w:val="22"/>
                <w:szCs w:val="22"/>
              </w:rPr>
            </w:pPr>
          </w:p>
        </w:tc>
      </w:tr>
      <w:tr w:rsidR="005162D9" w:rsidRPr="00F466AD" w14:paraId="3561FD0B" w14:textId="77777777" w:rsidTr="00C06CCC">
        <w:trPr>
          <w:trHeight w:val="270"/>
        </w:trPr>
        <w:tc>
          <w:tcPr>
            <w:tcW w:w="2355" w:type="pct"/>
          </w:tcPr>
          <w:p w14:paraId="5AB66251" w14:textId="77777777" w:rsidR="005162D9" w:rsidRPr="00C06CCC" w:rsidRDefault="005162D9" w:rsidP="00C06CCC">
            <w:pPr>
              <w:rPr>
                <w:rFonts w:ascii="Arial" w:hAnsi="Arial" w:cs="Arial"/>
              </w:rPr>
            </w:pPr>
            <w:r w:rsidRPr="00C06CCC">
              <w:rPr>
                <w:rFonts w:ascii="Arial" w:hAnsi="Arial" w:cs="Arial"/>
              </w:rPr>
              <w:t>Performance Related Pay</w:t>
            </w:r>
          </w:p>
        </w:tc>
        <w:tc>
          <w:tcPr>
            <w:tcW w:w="2645" w:type="pct"/>
          </w:tcPr>
          <w:p w14:paraId="21E6AEB8" w14:textId="77777777" w:rsidR="005162D9" w:rsidRDefault="005162D9" w:rsidP="00C06CCC">
            <w:pPr>
              <w:rPr>
                <w:rFonts w:ascii="Arial" w:hAnsi="Arial" w:cs="Arial"/>
                <w:sz w:val="22"/>
                <w:szCs w:val="22"/>
              </w:rPr>
            </w:pPr>
            <w:r w:rsidRPr="002666DE">
              <w:rPr>
                <w:rFonts w:ascii="Arial" w:hAnsi="Arial" w:cs="Arial"/>
                <w:sz w:val="22"/>
                <w:szCs w:val="22"/>
              </w:rPr>
              <w:t xml:space="preserve">The authority does not operate a performance related pay system as it believes that it has sufficiently strong performance management arrangements in place to ensure high performance from its senior officers. Any areas of under-performance are addressed rigorously. </w:t>
            </w:r>
          </w:p>
          <w:p w14:paraId="29C994E6" w14:textId="77777777" w:rsidR="002666DE" w:rsidRPr="002666DE" w:rsidRDefault="002666DE" w:rsidP="00C06CCC">
            <w:pPr>
              <w:rPr>
                <w:rFonts w:ascii="Arial" w:hAnsi="Arial" w:cs="Arial"/>
                <w:i/>
                <w:sz w:val="22"/>
                <w:szCs w:val="22"/>
              </w:rPr>
            </w:pPr>
          </w:p>
        </w:tc>
      </w:tr>
      <w:tr w:rsidR="005162D9" w:rsidRPr="00F466AD" w14:paraId="18F1FE3C" w14:textId="77777777" w:rsidTr="00C06CCC">
        <w:trPr>
          <w:trHeight w:val="270"/>
        </w:trPr>
        <w:tc>
          <w:tcPr>
            <w:tcW w:w="2355" w:type="pct"/>
          </w:tcPr>
          <w:p w14:paraId="0B355F66" w14:textId="77777777" w:rsidR="005162D9" w:rsidRPr="00C06CCC" w:rsidRDefault="005162D9" w:rsidP="00491E7D">
            <w:pPr>
              <w:rPr>
                <w:rFonts w:ascii="Arial" w:hAnsi="Arial" w:cs="Arial"/>
              </w:rPr>
            </w:pPr>
            <w:r w:rsidRPr="00C06CCC">
              <w:rPr>
                <w:rFonts w:ascii="Arial" w:hAnsi="Arial" w:cs="Arial"/>
              </w:rPr>
              <w:t>Earn-Back (Withholding an element of base pay related to performance)</w:t>
            </w:r>
          </w:p>
        </w:tc>
        <w:tc>
          <w:tcPr>
            <w:tcW w:w="2645" w:type="pct"/>
          </w:tcPr>
          <w:p w14:paraId="19997BB6" w14:textId="77777777" w:rsidR="005162D9" w:rsidRDefault="005162D9" w:rsidP="00C06CCC">
            <w:pPr>
              <w:rPr>
                <w:rFonts w:ascii="Arial" w:hAnsi="Arial" w:cs="Arial"/>
                <w:sz w:val="22"/>
                <w:szCs w:val="22"/>
              </w:rPr>
            </w:pPr>
            <w:r w:rsidRPr="002666DE">
              <w:rPr>
                <w:rFonts w:ascii="Arial" w:hAnsi="Arial" w:cs="Arial"/>
                <w:sz w:val="22"/>
                <w:szCs w:val="22"/>
              </w:rPr>
              <w:t xml:space="preserve">The authority does not operate an earn-back pay system as it believes that it has sufficiently strong performance management arrangements in place to ensure high performance from its senior officers. Any areas of under-performance are addressed rigorously. </w:t>
            </w:r>
          </w:p>
          <w:p w14:paraId="302BBCAD" w14:textId="77777777" w:rsidR="002666DE" w:rsidRPr="002666DE" w:rsidRDefault="002666DE" w:rsidP="00C06CCC">
            <w:pPr>
              <w:rPr>
                <w:rFonts w:ascii="Arial" w:hAnsi="Arial" w:cs="Arial"/>
                <w:sz w:val="22"/>
                <w:szCs w:val="22"/>
              </w:rPr>
            </w:pPr>
          </w:p>
        </w:tc>
      </w:tr>
      <w:tr w:rsidR="005162D9" w:rsidRPr="00F466AD" w14:paraId="7FF4B4B9" w14:textId="77777777" w:rsidTr="00C06CCC">
        <w:trPr>
          <w:trHeight w:val="270"/>
        </w:trPr>
        <w:tc>
          <w:tcPr>
            <w:tcW w:w="2355" w:type="pct"/>
          </w:tcPr>
          <w:p w14:paraId="16B2FEEB" w14:textId="77777777" w:rsidR="005162D9" w:rsidRPr="00C06CCC" w:rsidRDefault="005162D9" w:rsidP="00C06CCC">
            <w:pPr>
              <w:rPr>
                <w:rFonts w:ascii="Arial" w:hAnsi="Arial" w:cs="Arial"/>
              </w:rPr>
            </w:pPr>
            <w:r w:rsidRPr="00C06CCC">
              <w:rPr>
                <w:rFonts w:ascii="Arial" w:hAnsi="Arial" w:cs="Arial"/>
              </w:rPr>
              <w:t>Bonuses</w:t>
            </w:r>
          </w:p>
        </w:tc>
        <w:tc>
          <w:tcPr>
            <w:tcW w:w="2645" w:type="pct"/>
          </w:tcPr>
          <w:p w14:paraId="6BEA3CE8" w14:textId="77777777" w:rsidR="005162D9" w:rsidRDefault="005162D9" w:rsidP="00491E7D">
            <w:pPr>
              <w:rPr>
                <w:rFonts w:ascii="Arial" w:hAnsi="Arial" w:cs="Arial"/>
                <w:sz w:val="22"/>
                <w:szCs w:val="22"/>
              </w:rPr>
            </w:pPr>
            <w:r w:rsidRPr="002666DE">
              <w:rPr>
                <w:rFonts w:ascii="Arial" w:hAnsi="Arial" w:cs="Arial"/>
                <w:sz w:val="22"/>
                <w:szCs w:val="22"/>
              </w:rPr>
              <w:t xml:space="preserve">The authority does not pay </w:t>
            </w:r>
            <w:r w:rsidR="00491E7D" w:rsidRPr="002666DE">
              <w:rPr>
                <w:rFonts w:ascii="Arial" w:hAnsi="Arial" w:cs="Arial"/>
                <w:sz w:val="22"/>
                <w:szCs w:val="22"/>
              </w:rPr>
              <w:t xml:space="preserve">any </w:t>
            </w:r>
            <w:r w:rsidRPr="002666DE">
              <w:rPr>
                <w:rFonts w:ascii="Arial" w:hAnsi="Arial" w:cs="Arial"/>
                <w:sz w:val="22"/>
                <w:szCs w:val="22"/>
              </w:rPr>
              <w:t>bonus payments.</w:t>
            </w:r>
          </w:p>
          <w:p w14:paraId="142F91AF" w14:textId="77777777" w:rsidR="002666DE" w:rsidRPr="002666DE" w:rsidRDefault="002666DE" w:rsidP="00491E7D">
            <w:pPr>
              <w:rPr>
                <w:rFonts w:ascii="Arial" w:hAnsi="Arial" w:cs="Arial"/>
                <w:sz w:val="22"/>
                <w:szCs w:val="22"/>
              </w:rPr>
            </w:pPr>
          </w:p>
        </w:tc>
      </w:tr>
      <w:tr w:rsidR="005162D9" w:rsidRPr="00F466AD" w14:paraId="1559A19C" w14:textId="77777777" w:rsidTr="00C06CCC">
        <w:trPr>
          <w:trHeight w:val="270"/>
        </w:trPr>
        <w:tc>
          <w:tcPr>
            <w:tcW w:w="2355" w:type="pct"/>
          </w:tcPr>
          <w:p w14:paraId="69C6085A" w14:textId="77777777" w:rsidR="005162D9" w:rsidRPr="00C06CCC" w:rsidRDefault="005162D9" w:rsidP="00C06CCC">
            <w:pPr>
              <w:rPr>
                <w:rFonts w:ascii="Arial" w:hAnsi="Arial" w:cs="Arial"/>
              </w:rPr>
            </w:pPr>
            <w:r w:rsidRPr="00C06CCC">
              <w:rPr>
                <w:rFonts w:ascii="Arial" w:hAnsi="Arial" w:cs="Arial"/>
              </w:rPr>
              <w:t>Termination Payments</w:t>
            </w:r>
          </w:p>
        </w:tc>
        <w:tc>
          <w:tcPr>
            <w:tcW w:w="2645" w:type="pct"/>
          </w:tcPr>
          <w:p w14:paraId="6D3B5B4E" w14:textId="77777777" w:rsidR="005162D9" w:rsidRDefault="005162D9" w:rsidP="00C06CCC">
            <w:pPr>
              <w:rPr>
                <w:rFonts w:ascii="Arial" w:hAnsi="Arial" w:cs="Arial"/>
                <w:sz w:val="22"/>
                <w:szCs w:val="22"/>
              </w:rPr>
            </w:pPr>
            <w:r w:rsidRPr="002666DE">
              <w:rPr>
                <w:rFonts w:ascii="Arial" w:hAnsi="Arial" w:cs="Arial"/>
                <w:sz w:val="22"/>
                <w:szCs w:val="22"/>
              </w:rPr>
              <w:t xml:space="preserve">The authority applies its normal redundancy payment arrangements to senior officers and does not have separate provisions for senior officers. The authority </w:t>
            </w:r>
            <w:r w:rsidRPr="002666DE">
              <w:rPr>
                <w:rFonts w:ascii="Arial" w:hAnsi="Arial" w:cs="Arial"/>
                <w:sz w:val="22"/>
                <w:szCs w:val="22"/>
              </w:rPr>
              <w:lastRenderedPageBreak/>
              <w:t>also applies the appropriate Pensions regulations when they apply. The authority has agreed policies in place on how it will apply any discretionary powers it has under Pensions regulations. Any costs that are incurred by the authority regarding senior officers are published in the authority accounts as required under t</w:t>
            </w:r>
            <w:r w:rsidR="00C56558" w:rsidRPr="002666DE">
              <w:rPr>
                <w:rFonts w:ascii="Arial" w:hAnsi="Arial" w:cs="Arial"/>
                <w:sz w:val="22"/>
                <w:szCs w:val="22"/>
              </w:rPr>
              <w:t>he Accounts and Audit Regulations 2015</w:t>
            </w:r>
            <w:r w:rsidRPr="002666DE">
              <w:rPr>
                <w:rFonts w:ascii="Arial" w:hAnsi="Arial" w:cs="Arial"/>
                <w:sz w:val="22"/>
                <w:szCs w:val="22"/>
              </w:rPr>
              <w:t>.</w:t>
            </w:r>
          </w:p>
          <w:p w14:paraId="192AADC8" w14:textId="77777777" w:rsidR="002666DE" w:rsidRPr="002666DE" w:rsidRDefault="002666DE" w:rsidP="00C06CCC">
            <w:pPr>
              <w:rPr>
                <w:rFonts w:ascii="Arial" w:hAnsi="Arial" w:cs="Arial"/>
                <w:sz w:val="22"/>
                <w:szCs w:val="22"/>
              </w:rPr>
            </w:pPr>
          </w:p>
        </w:tc>
      </w:tr>
      <w:tr w:rsidR="005162D9" w:rsidRPr="00F466AD" w14:paraId="4EFA5DAC" w14:textId="77777777" w:rsidTr="00C06CCC">
        <w:trPr>
          <w:trHeight w:val="270"/>
        </w:trPr>
        <w:tc>
          <w:tcPr>
            <w:tcW w:w="2355" w:type="pct"/>
          </w:tcPr>
          <w:p w14:paraId="2A9989E2" w14:textId="77777777" w:rsidR="005162D9" w:rsidRPr="00C06CCC" w:rsidRDefault="005162D9" w:rsidP="00C06CCC">
            <w:pPr>
              <w:rPr>
                <w:rFonts w:ascii="Arial" w:hAnsi="Arial" w:cs="Arial"/>
              </w:rPr>
            </w:pPr>
            <w:r w:rsidRPr="00C06CCC">
              <w:rPr>
                <w:rFonts w:ascii="Arial" w:hAnsi="Arial" w:cs="Arial"/>
              </w:rPr>
              <w:lastRenderedPageBreak/>
              <w:t>Transparency</w:t>
            </w:r>
          </w:p>
        </w:tc>
        <w:tc>
          <w:tcPr>
            <w:tcW w:w="2645" w:type="pct"/>
          </w:tcPr>
          <w:p w14:paraId="5F4B5D05" w14:textId="77777777" w:rsidR="005162D9" w:rsidRDefault="005162D9" w:rsidP="00C06CCC">
            <w:pPr>
              <w:rPr>
                <w:rFonts w:ascii="Arial" w:hAnsi="Arial" w:cs="Arial"/>
                <w:sz w:val="22"/>
                <w:szCs w:val="22"/>
              </w:rPr>
            </w:pPr>
            <w:r w:rsidRPr="008C2F2C">
              <w:rPr>
                <w:rFonts w:ascii="Arial" w:hAnsi="Arial" w:cs="Arial"/>
                <w:sz w:val="22"/>
                <w:szCs w:val="22"/>
              </w:rPr>
              <w:t xml:space="preserve">The authority meets its requirements under the Localism Act, the Code of Practice on Data Transparency and the Accounts and Audit Regulations </w:t>
            </w:r>
            <w:proofErr w:type="gramStart"/>
            <w:r w:rsidRPr="008C2F2C">
              <w:rPr>
                <w:rFonts w:ascii="Arial" w:hAnsi="Arial" w:cs="Arial"/>
                <w:sz w:val="22"/>
                <w:szCs w:val="22"/>
              </w:rPr>
              <w:t>in order to</w:t>
            </w:r>
            <w:proofErr w:type="gramEnd"/>
            <w:r w:rsidRPr="008C2F2C">
              <w:rPr>
                <w:rFonts w:ascii="Arial" w:hAnsi="Arial" w:cs="Arial"/>
                <w:sz w:val="22"/>
                <w:szCs w:val="22"/>
              </w:rPr>
              <w:t xml:space="preserve"> ensure that it is open and transparent regarding senior officer remuneration.</w:t>
            </w:r>
          </w:p>
          <w:p w14:paraId="693C7250" w14:textId="77777777" w:rsidR="002666DE" w:rsidRPr="008C2F2C" w:rsidRDefault="002666DE" w:rsidP="00C06CCC">
            <w:pPr>
              <w:rPr>
                <w:rFonts w:ascii="Arial" w:hAnsi="Arial" w:cs="Arial"/>
                <w:sz w:val="22"/>
                <w:szCs w:val="22"/>
              </w:rPr>
            </w:pPr>
          </w:p>
        </w:tc>
      </w:tr>
      <w:tr w:rsidR="005162D9" w:rsidRPr="00F466AD" w14:paraId="746629ED" w14:textId="77777777" w:rsidTr="00C06CCC">
        <w:trPr>
          <w:trHeight w:val="270"/>
        </w:trPr>
        <w:tc>
          <w:tcPr>
            <w:tcW w:w="2355" w:type="pct"/>
          </w:tcPr>
          <w:p w14:paraId="75E87DED" w14:textId="77777777" w:rsidR="005162D9" w:rsidRPr="00C06CCC" w:rsidRDefault="005162D9" w:rsidP="00C06CCC">
            <w:pPr>
              <w:rPr>
                <w:rFonts w:ascii="Arial" w:hAnsi="Arial" w:cs="Arial"/>
              </w:rPr>
            </w:pPr>
            <w:r w:rsidRPr="00C06CCC">
              <w:rPr>
                <w:rFonts w:ascii="Arial" w:hAnsi="Arial" w:cs="Arial"/>
              </w:rPr>
              <w:t xml:space="preserve">Re-employment of staff in receipt of an LGPS Pension or a redundancy/severance </w:t>
            </w:r>
            <w:r>
              <w:rPr>
                <w:rFonts w:ascii="Arial" w:hAnsi="Arial" w:cs="Arial"/>
              </w:rPr>
              <w:t>pay</w:t>
            </w:r>
            <w:r w:rsidRPr="00C06CCC">
              <w:rPr>
                <w:rFonts w:ascii="Arial" w:hAnsi="Arial" w:cs="Arial"/>
              </w:rPr>
              <w:t>ment</w:t>
            </w:r>
          </w:p>
        </w:tc>
        <w:tc>
          <w:tcPr>
            <w:tcW w:w="2645" w:type="pct"/>
          </w:tcPr>
          <w:p w14:paraId="7333E342" w14:textId="77777777" w:rsidR="005162D9" w:rsidRDefault="005162D9" w:rsidP="004A40D7">
            <w:pPr>
              <w:rPr>
                <w:rFonts w:ascii="Arial" w:hAnsi="Arial" w:cs="Arial"/>
                <w:sz w:val="22"/>
                <w:szCs w:val="22"/>
              </w:rPr>
            </w:pPr>
            <w:r w:rsidRPr="002666DE">
              <w:rPr>
                <w:rFonts w:ascii="Arial" w:hAnsi="Arial" w:cs="Arial"/>
                <w:sz w:val="22"/>
                <w:szCs w:val="22"/>
              </w:rPr>
              <w:t xml:space="preserve">The authority is under a statutory duty to appoint on merit and </w:t>
            </w:r>
            <w:proofErr w:type="gramStart"/>
            <w:r w:rsidRPr="002666DE">
              <w:rPr>
                <w:rFonts w:ascii="Arial" w:hAnsi="Arial" w:cs="Arial"/>
                <w:sz w:val="22"/>
                <w:szCs w:val="22"/>
              </w:rPr>
              <w:t>has to</w:t>
            </w:r>
            <w:proofErr w:type="gramEnd"/>
            <w:r w:rsidRPr="002666DE">
              <w:rPr>
                <w:rFonts w:ascii="Arial" w:hAnsi="Arial" w:cs="Arial"/>
                <w:sz w:val="22"/>
                <w:szCs w:val="22"/>
              </w:rPr>
              <w:t xml:space="preserve"> ensure that it complies with all appropriate employment and equalities legislation. The authority will always seek to appoint the best available candidate to a post who has the skills, knowledge, experience, </w:t>
            </w:r>
            <w:proofErr w:type="gramStart"/>
            <w:r w:rsidRPr="002666DE">
              <w:rPr>
                <w:rFonts w:ascii="Arial" w:hAnsi="Arial" w:cs="Arial"/>
                <w:sz w:val="22"/>
                <w:szCs w:val="22"/>
              </w:rPr>
              <w:t>abilities</w:t>
            </w:r>
            <w:proofErr w:type="gramEnd"/>
            <w:r w:rsidRPr="002666DE">
              <w:rPr>
                <w:rFonts w:ascii="Arial" w:hAnsi="Arial" w:cs="Arial"/>
                <w:sz w:val="22"/>
                <w:szCs w:val="22"/>
              </w:rPr>
              <w:t xml:space="preserve"> and qualities needed for the post. However, where an</w:t>
            </w:r>
            <w:r w:rsidR="00491E7D" w:rsidRPr="002666DE">
              <w:rPr>
                <w:rFonts w:ascii="Arial" w:hAnsi="Arial" w:cs="Arial"/>
                <w:sz w:val="22"/>
                <w:szCs w:val="22"/>
              </w:rPr>
              <w:t>y</w:t>
            </w:r>
            <w:r w:rsidRPr="002666DE">
              <w:rPr>
                <w:rFonts w:ascii="Arial" w:hAnsi="Arial" w:cs="Arial"/>
                <w:sz w:val="22"/>
                <w:szCs w:val="22"/>
              </w:rPr>
              <w:t xml:space="preserve"> employee </w:t>
            </w:r>
            <w:r w:rsidR="00491E7D" w:rsidRPr="002666DE">
              <w:rPr>
                <w:rFonts w:ascii="Arial" w:hAnsi="Arial" w:cs="Arial"/>
                <w:sz w:val="22"/>
                <w:szCs w:val="22"/>
              </w:rPr>
              <w:t xml:space="preserve">(applies to all employees not just Chief Officers) </w:t>
            </w:r>
            <w:r w:rsidRPr="002666DE">
              <w:rPr>
                <w:rFonts w:ascii="Arial" w:hAnsi="Arial" w:cs="Arial"/>
                <w:sz w:val="22"/>
                <w:szCs w:val="22"/>
              </w:rPr>
              <w:t xml:space="preserve">is granted </w:t>
            </w:r>
            <w:r w:rsidR="004A40D7" w:rsidRPr="002666DE">
              <w:rPr>
                <w:rFonts w:ascii="Arial" w:hAnsi="Arial" w:cs="Arial"/>
                <w:sz w:val="22"/>
                <w:szCs w:val="22"/>
              </w:rPr>
              <w:t>voluntary early retirement (</w:t>
            </w:r>
            <w:r w:rsidRPr="002666DE">
              <w:rPr>
                <w:rFonts w:ascii="Arial" w:hAnsi="Arial" w:cs="Arial"/>
                <w:sz w:val="22"/>
                <w:szCs w:val="22"/>
              </w:rPr>
              <w:t>VER</w:t>
            </w:r>
            <w:r w:rsidR="004A40D7" w:rsidRPr="002666DE">
              <w:rPr>
                <w:rFonts w:ascii="Arial" w:hAnsi="Arial" w:cs="Arial"/>
                <w:sz w:val="22"/>
                <w:szCs w:val="22"/>
              </w:rPr>
              <w:t>)</w:t>
            </w:r>
            <w:r w:rsidRPr="002666DE">
              <w:rPr>
                <w:rFonts w:ascii="Arial" w:hAnsi="Arial" w:cs="Arial"/>
                <w:sz w:val="22"/>
                <w:szCs w:val="22"/>
              </w:rPr>
              <w:t xml:space="preserve"> and is therefore in receipt of their pension benefits he/she will not be re-engaged at any time in any paid form of employment with the authority. Where an</w:t>
            </w:r>
            <w:r w:rsidR="00491E7D" w:rsidRPr="002666DE">
              <w:rPr>
                <w:rFonts w:ascii="Arial" w:hAnsi="Arial" w:cs="Arial"/>
                <w:sz w:val="22"/>
                <w:szCs w:val="22"/>
              </w:rPr>
              <w:t>y</w:t>
            </w:r>
            <w:r w:rsidRPr="002666DE">
              <w:rPr>
                <w:rFonts w:ascii="Arial" w:hAnsi="Arial" w:cs="Arial"/>
                <w:sz w:val="22"/>
                <w:szCs w:val="22"/>
              </w:rPr>
              <w:t xml:space="preserve"> employee</w:t>
            </w:r>
            <w:r w:rsidR="00491E7D" w:rsidRPr="002666DE">
              <w:rPr>
                <w:rFonts w:ascii="Arial" w:hAnsi="Arial" w:cs="Arial"/>
                <w:sz w:val="22"/>
                <w:szCs w:val="22"/>
              </w:rPr>
              <w:t xml:space="preserve"> (applies to all employees not just Chief Officers)</w:t>
            </w:r>
            <w:r w:rsidRPr="002666DE">
              <w:rPr>
                <w:rFonts w:ascii="Arial" w:hAnsi="Arial" w:cs="Arial"/>
                <w:sz w:val="22"/>
                <w:szCs w:val="22"/>
              </w:rPr>
              <w:t xml:space="preserve"> is granted </w:t>
            </w:r>
            <w:r w:rsidR="004A40D7" w:rsidRPr="002666DE">
              <w:rPr>
                <w:rFonts w:ascii="Arial" w:hAnsi="Arial" w:cs="Arial"/>
                <w:sz w:val="22"/>
                <w:szCs w:val="22"/>
              </w:rPr>
              <w:t>voluntary redundancy (</w:t>
            </w:r>
            <w:r w:rsidRPr="002666DE">
              <w:rPr>
                <w:rFonts w:ascii="Arial" w:hAnsi="Arial" w:cs="Arial"/>
                <w:sz w:val="22"/>
                <w:szCs w:val="22"/>
              </w:rPr>
              <w:t>VR</w:t>
            </w:r>
            <w:r w:rsidR="004A40D7" w:rsidRPr="002666DE">
              <w:rPr>
                <w:rFonts w:ascii="Arial" w:hAnsi="Arial" w:cs="Arial"/>
                <w:sz w:val="22"/>
                <w:szCs w:val="22"/>
              </w:rPr>
              <w:t>)</w:t>
            </w:r>
            <w:r w:rsidRPr="002666DE">
              <w:rPr>
                <w:rFonts w:ascii="Arial" w:hAnsi="Arial" w:cs="Arial"/>
                <w:sz w:val="22"/>
                <w:szCs w:val="22"/>
              </w:rPr>
              <w:t xml:space="preserve"> he/she will not be re-engaged with the authority for a period of 12 months from the date of termination. </w:t>
            </w:r>
            <w:r w:rsidR="000B7BCF" w:rsidRPr="002666DE">
              <w:rPr>
                <w:rFonts w:ascii="Arial" w:hAnsi="Arial" w:cs="Arial"/>
                <w:sz w:val="22"/>
                <w:szCs w:val="22"/>
              </w:rPr>
              <w:t>For the avoidance of doubt this includes any work for the local authority where a payment is received.</w:t>
            </w:r>
            <w:r w:rsidR="000B7BCF" w:rsidRPr="002666DE">
              <w:rPr>
                <w:sz w:val="22"/>
                <w:szCs w:val="22"/>
              </w:rPr>
              <w:t xml:space="preserve"> </w:t>
            </w:r>
            <w:r w:rsidRPr="002666DE">
              <w:rPr>
                <w:rFonts w:ascii="Arial" w:hAnsi="Arial" w:cs="Arial"/>
                <w:sz w:val="22"/>
                <w:szCs w:val="22"/>
              </w:rPr>
              <w:t>These criteria do not apply where any employee is made compulsory redundant. The provisions of the Redundancy Payments Modification Order regarding the recovery of redundancy payments will be applied in circumstances where it is relevant. Pension Regulations contain provisions to reduce pension payments in certain circumstances to those who return to work within the local government service.</w:t>
            </w:r>
          </w:p>
          <w:p w14:paraId="28A2460D" w14:textId="77777777" w:rsidR="002666DE" w:rsidRPr="002666DE" w:rsidRDefault="002666DE" w:rsidP="004A40D7">
            <w:pPr>
              <w:rPr>
                <w:rFonts w:ascii="Arial" w:hAnsi="Arial" w:cs="Arial"/>
                <w:sz w:val="22"/>
                <w:szCs w:val="22"/>
              </w:rPr>
            </w:pPr>
          </w:p>
        </w:tc>
      </w:tr>
    </w:tbl>
    <w:p w14:paraId="0E6354B3" w14:textId="77777777" w:rsidR="005162D9" w:rsidRDefault="005162D9"/>
    <w:sectPr w:rsidR="005162D9" w:rsidSect="00F4716F">
      <w:headerReference w:type="default" r:id="rId9"/>
      <w:pgSz w:w="16838" w:h="11906" w:orient="landscape"/>
      <w:pgMar w:top="1797" w:right="1440" w:bottom="1134" w:left="144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1E06" w14:textId="77777777" w:rsidR="00CA7727" w:rsidRDefault="00CA7727">
      <w:r>
        <w:separator/>
      </w:r>
    </w:p>
  </w:endnote>
  <w:endnote w:type="continuationSeparator" w:id="0">
    <w:p w14:paraId="0F3FD1DF" w14:textId="77777777" w:rsidR="00CA7727" w:rsidRDefault="00CA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0436" w14:textId="77777777" w:rsidR="00CA7727" w:rsidRDefault="00CA7727">
      <w:r>
        <w:separator/>
      </w:r>
    </w:p>
  </w:footnote>
  <w:footnote w:type="continuationSeparator" w:id="0">
    <w:p w14:paraId="23DF4A58" w14:textId="77777777" w:rsidR="00CA7727" w:rsidRDefault="00CA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D089" w14:textId="77777777" w:rsidR="005162D9" w:rsidRDefault="005162D9" w:rsidP="00782E9B">
    <w:pPr>
      <w:pStyle w:val="Header"/>
      <w:ind w:left="-720"/>
    </w:pPr>
  </w:p>
  <w:p w14:paraId="14ECF5BC" w14:textId="77777777" w:rsidR="005162D9" w:rsidRDefault="005162D9" w:rsidP="00782E9B">
    <w:pPr>
      <w:pStyle w:val="Header"/>
      <w:ind w:left="-720"/>
    </w:pPr>
  </w:p>
  <w:p w14:paraId="619BD83B" w14:textId="77777777" w:rsidR="005162D9" w:rsidRDefault="005162D9" w:rsidP="00782E9B">
    <w:pPr>
      <w:pStyle w:val="Header"/>
      <w:ind w:left="-720"/>
      <w:rPr>
        <w:rFonts w:ascii="Arial" w:hAnsi="Arial" w:cs="Arial"/>
      </w:rPr>
    </w:pPr>
  </w:p>
  <w:p w14:paraId="32C32C59" w14:textId="77777777" w:rsidR="005162D9" w:rsidRPr="00726C79" w:rsidRDefault="005162D9" w:rsidP="00782E9B">
    <w:pPr>
      <w:pStyle w:val="Header"/>
      <w:ind w:left="-720"/>
      <w:rPr>
        <w:rFonts w:ascii="Arial" w:hAnsi="Arial" w:cs="Arial"/>
        <w:b/>
      </w:rPr>
    </w:pPr>
    <w:r w:rsidRPr="00726C79">
      <w:rPr>
        <w:rFonts w:ascii="Arial" w:hAnsi="Arial" w:cs="Arial"/>
        <w:b/>
      </w:rPr>
      <w:t>Annex C – Other aspects of Chief Officer Rem</w:t>
    </w:r>
    <w:r>
      <w:rPr>
        <w:rFonts w:ascii="Arial" w:hAnsi="Arial" w:cs="Arial"/>
        <w:b/>
      </w:rPr>
      <w:t>un</w:t>
    </w:r>
    <w:r w:rsidRPr="00726C79">
      <w:rPr>
        <w:rFonts w:ascii="Arial" w:hAnsi="Arial" w:cs="Arial"/>
        <w:b/>
      </w:rPr>
      <w:t>eration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6AD"/>
    <w:rsid w:val="0003045F"/>
    <w:rsid w:val="000311B6"/>
    <w:rsid w:val="00054022"/>
    <w:rsid w:val="00072F2A"/>
    <w:rsid w:val="0008373F"/>
    <w:rsid w:val="000B7BCF"/>
    <w:rsid w:val="00123A74"/>
    <w:rsid w:val="00125E0D"/>
    <w:rsid w:val="00147083"/>
    <w:rsid w:val="00182AEA"/>
    <w:rsid w:val="00197EF6"/>
    <w:rsid w:val="00204AD7"/>
    <w:rsid w:val="002209AA"/>
    <w:rsid w:val="00246C61"/>
    <w:rsid w:val="00255496"/>
    <w:rsid w:val="002666DE"/>
    <w:rsid w:val="00273E68"/>
    <w:rsid w:val="002C20E8"/>
    <w:rsid w:val="002D6EEF"/>
    <w:rsid w:val="002F2B39"/>
    <w:rsid w:val="0034204F"/>
    <w:rsid w:val="00355C3B"/>
    <w:rsid w:val="00356DAD"/>
    <w:rsid w:val="00370152"/>
    <w:rsid w:val="00392588"/>
    <w:rsid w:val="003C751E"/>
    <w:rsid w:val="003F450E"/>
    <w:rsid w:val="00491E7D"/>
    <w:rsid w:val="004A40D7"/>
    <w:rsid w:val="005006A0"/>
    <w:rsid w:val="00503306"/>
    <w:rsid w:val="005147AE"/>
    <w:rsid w:val="005162D9"/>
    <w:rsid w:val="00540B58"/>
    <w:rsid w:val="00552454"/>
    <w:rsid w:val="005B42DE"/>
    <w:rsid w:val="005B72F1"/>
    <w:rsid w:val="005E7222"/>
    <w:rsid w:val="005E7B4F"/>
    <w:rsid w:val="006015F7"/>
    <w:rsid w:val="006A29C8"/>
    <w:rsid w:val="006B1B1A"/>
    <w:rsid w:val="006B3D93"/>
    <w:rsid w:val="006D69A1"/>
    <w:rsid w:val="00726C79"/>
    <w:rsid w:val="00734ADA"/>
    <w:rsid w:val="00740A90"/>
    <w:rsid w:val="00782E9B"/>
    <w:rsid w:val="007F00BC"/>
    <w:rsid w:val="007F6CB4"/>
    <w:rsid w:val="0081315A"/>
    <w:rsid w:val="008170E8"/>
    <w:rsid w:val="008260EC"/>
    <w:rsid w:val="0086296F"/>
    <w:rsid w:val="008766CC"/>
    <w:rsid w:val="0089747E"/>
    <w:rsid w:val="008C2F2C"/>
    <w:rsid w:val="008D69DA"/>
    <w:rsid w:val="009570EA"/>
    <w:rsid w:val="00976B0C"/>
    <w:rsid w:val="00986C58"/>
    <w:rsid w:val="009F6189"/>
    <w:rsid w:val="009F68CA"/>
    <w:rsid w:val="00A44030"/>
    <w:rsid w:val="00A56E8C"/>
    <w:rsid w:val="00A8791F"/>
    <w:rsid w:val="00AB6607"/>
    <w:rsid w:val="00AD5494"/>
    <w:rsid w:val="00B62644"/>
    <w:rsid w:val="00BB16F3"/>
    <w:rsid w:val="00BD5333"/>
    <w:rsid w:val="00BE5CCE"/>
    <w:rsid w:val="00C0292D"/>
    <w:rsid w:val="00C06CCC"/>
    <w:rsid w:val="00C3427E"/>
    <w:rsid w:val="00C56558"/>
    <w:rsid w:val="00C81382"/>
    <w:rsid w:val="00C9274C"/>
    <w:rsid w:val="00CA7727"/>
    <w:rsid w:val="00CE41BD"/>
    <w:rsid w:val="00CF70D6"/>
    <w:rsid w:val="00D0446E"/>
    <w:rsid w:val="00D50611"/>
    <w:rsid w:val="00D63445"/>
    <w:rsid w:val="00D7404F"/>
    <w:rsid w:val="00D97910"/>
    <w:rsid w:val="00DF05DD"/>
    <w:rsid w:val="00E34CCC"/>
    <w:rsid w:val="00E3778E"/>
    <w:rsid w:val="00E43528"/>
    <w:rsid w:val="00E5710E"/>
    <w:rsid w:val="00E65627"/>
    <w:rsid w:val="00E71ADB"/>
    <w:rsid w:val="00E84C48"/>
    <w:rsid w:val="00E874B1"/>
    <w:rsid w:val="00EC6D2E"/>
    <w:rsid w:val="00EF0410"/>
    <w:rsid w:val="00F466AD"/>
    <w:rsid w:val="00F4716F"/>
    <w:rsid w:val="00F87FBA"/>
    <w:rsid w:val="00F93682"/>
    <w:rsid w:val="00F94F2D"/>
    <w:rsid w:val="00FA6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C6A8FB"/>
  <w15:chartTrackingRefBased/>
  <w15:docId w15:val="{5D425127-C231-4CDE-ABEB-7D820186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B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4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2E9B"/>
    <w:pPr>
      <w:tabs>
        <w:tab w:val="center" w:pos="4153"/>
        <w:tab w:val="right" w:pos="8306"/>
      </w:tabs>
    </w:pPr>
  </w:style>
  <w:style w:type="character" w:customStyle="1" w:styleId="HeaderChar">
    <w:name w:val="Header Char"/>
    <w:link w:val="Header"/>
    <w:uiPriority w:val="99"/>
    <w:semiHidden/>
    <w:locked/>
    <w:rsid w:val="00FA68CB"/>
    <w:rPr>
      <w:rFonts w:cs="Times New Roman"/>
      <w:sz w:val="24"/>
      <w:szCs w:val="24"/>
      <w:lang w:eastAsia="en-US"/>
    </w:rPr>
  </w:style>
  <w:style w:type="paragraph" w:styleId="Footer">
    <w:name w:val="footer"/>
    <w:basedOn w:val="Normal"/>
    <w:link w:val="FooterChar"/>
    <w:uiPriority w:val="99"/>
    <w:rsid w:val="00782E9B"/>
    <w:pPr>
      <w:tabs>
        <w:tab w:val="center" w:pos="4153"/>
        <w:tab w:val="right" w:pos="8306"/>
      </w:tabs>
    </w:pPr>
  </w:style>
  <w:style w:type="character" w:customStyle="1" w:styleId="FooterChar">
    <w:name w:val="Footer Char"/>
    <w:link w:val="Footer"/>
    <w:uiPriority w:val="99"/>
    <w:locked/>
    <w:rsid w:val="00FA68CB"/>
    <w:rPr>
      <w:rFonts w:cs="Times New Roman"/>
      <w:sz w:val="24"/>
      <w:szCs w:val="24"/>
      <w:lang w:eastAsia="en-US"/>
    </w:rPr>
  </w:style>
  <w:style w:type="paragraph" w:styleId="BalloonText">
    <w:name w:val="Balloon Text"/>
    <w:basedOn w:val="Normal"/>
    <w:link w:val="BalloonTextChar"/>
    <w:uiPriority w:val="99"/>
    <w:semiHidden/>
    <w:unhideWhenUsed/>
    <w:rsid w:val="00197EF6"/>
    <w:rPr>
      <w:rFonts w:ascii="Tahoma" w:hAnsi="Tahoma" w:cs="Tahoma"/>
      <w:sz w:val="16"/>
      <w:szCs w:val="16"/>
    </w:rPr>
  </w:style>
  <w:style w:type="character" w:customStyle="1" w:styleId="BalloonTextChar">
    <w:name w:val="Balloon Text Char"/>
    <w:link w:val="BalloonText"/>
    <w:uiPriority w:val="99"/>
    <w:semiHidden/>
    <w:rsid w:val="00197EF6"/>
    <w:rPr>
      <w:rFonts w:ascii="Tahoma" w:hAnsi="Tahoma" w:cs="Tahoma"/>
      <w:sz w:val="16"/>
      <w:szCs w:val="16"/>
      <w:lang w:eastAsia="en-US"/>
    </w:rPr>
  </w:style>
  <w:style w:type="paragraph" w:styleId="NormalWeb">
    <w:name w:val="Normal (Web)"/>
    <w:basedOn w:val="Normal"/>
    <w:uiPriority w:val="99"/>
    <w:semiHidden/>
    <w:unhideWhenUsed/>
    <w:rsid w:val="00D0446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78494">
      <w:bodyDiv w:val="1"/>
      <w:marLeft w:val="0"/>
      <w:marRight w:val="0"/>
      <w:marTop w:val="0"/>
      <w:marBottom w:val="0"/>
      <w:divBdr>
        <w:top w:val="none" w:sz="0" w:space="0" w:color="auto"/>
        <w:left w:val="none" w:sz="0" w:space="0" w:color="auto"/>
        <w:bottom w:val="none" w:sz="0" w:space="0" w:color="auto"/>
        <w:right w:val="none" w:sz="0" w:space="0" w:color="auto"/>
      </w:divBdr>
      <w:divsChild>
        <w:div w:id="77675332">
          <w:marLeft w:val="0"/>
          <w:marRight w:val="0"/>
          <w:marTop w:val="0"/>
          <w:marBottom w:val="0"/>
          <w:divBdr>
            <w:top w:val="none" w:sz="0" w:space="0" w:color="auto"/>
            <w:left w:val="none" w:sz="0" w:space="0" w:color="auto"/>
            <w:bottom w:val="none" w:sz="0" w:space="0" w:color="auto"/>
            <w:right w:val="none" w:sz="0" w:space="0" w:color="auto"/>
          </w:divBdr>
          <w:divsChild>
            <w:div w:id="1297296694">
              <w:marLeft w:val="0"/>
              <w:marRight w:val="0"/>
              <w:marTop w:val="0"/>
              <w:marBottom w:val="0"/>
              <w:divBdr>
                <w:top w:val="none" w:sz="0" w:space="0" w:color="auto"/>
                <w:left w:val="none" w:sz="0" w:space="0" w:color="auto"/>
                <w:bottom w:val="none" w:sz="0" w:space="0" w:color="auto"/>
                <w:right w:val="none" w:sz="0" w:space="0" w:color="auto"/>
              </w:divBdr>
              <w:divsChild>
                <w:div w:id="425080524">
                  <w:marLeft w:val="0"/>
                  <w:marRight w:val="0"/>
                  <w:marTop w:val="0"/>
                  <w:marBottom w:val="0"/>
                  <w:divBdr>
                    <w:top w:val="none" w:sz="0" w:space="0" w:color="auto"/>
                    <w:left w:val="none" w:sz="0" w:space="0" w:color="auto"/>
                    <w:bottom w:val="none" w:sz="0" w:space="0" w:color="auto"/>
                    <w:right w:val="none" w:sz="0" w:space="0" w:color="auto"/>
                  </w:divBdr>
                  <w:divsChild>
                    <w:div w:id="642002047">
                      <w:marLeft w:val="0"/>
                      <w:marRight w:val="0"/>
                      <w:marTop w:val="0"/>
                      <w:marBottom w:val="0"/>
                      <w:divBdr>
                        <w:top w:val="none" w:sz="0" w:space="0" w:color="auto"/>
                        <w:left w:val="none" w:sz="0" w:space="0" w:color="auto"/>
                        <w:bottom w:val="none" w:sz="0" w:space="0" w:color="auto"/>
                        <w:right w:val="none" w:sz="0" w:space="0" w:color="auto"/>
                      </w:divBdr>
                      <w:divsChild>
                        <w:div w:id="2133018056">
                          <w:marLeft w:val="0"/>
                          <w:marRight w:val="0"/>
                          <w:marTop w:val="0"/>
                          <w:marBottom w:val="0"/>
                          <w:divBdr>
                            <w:top w:val="none" w:sz="0" w:space="0" w:color="auto"/>
                            <w:left w:val="none" w:sz="0" w:space="0" w:color="auto"/>
                            <w:bottom w:val="none" w:sz="0" w:space="0" w:color="auto"/>
                            <w:right w:val="none" w:sz="0" w:space="0" w:color="auto"/>
                          </w:divBdr>
                          <w:divsChild>
                            <w:div w:id="14166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9DCF6170B442A0324CBE9F991A32" ma:contentTypeVersion="16" ma:contentTypeDescription="Create a new document." ma:contentTypeScope="" ma:versionID="e6555968f49ab5a62acd48daa3085489">
  <xsd:schema xmlns:xsd="http://www.w3.org/2001/XMLSchema" xmlns:xs="http://www.w3.org/2001/XMLSchema" xmlns:p="http://schemas.microsoft.com/office/2006/metadata/properties" xmlns:ns2="8bca3c8b-6356-4806-aa2a-121d97f49fdf" xmlns:ns3="2d771bc3-17e2-454c-9f76-963ecc758d1d" targetNamespace="http://schemas.microsoft.com/office/2006/metadata/properties" ma:root="true" ma:fieldsID="7aa1fa60a7a396519424524557e0f245" ns2:_="" ns3:_="">
    <xsd:import namespace="8bca3c8b-6356-4806-aa2a-121d97f49fdf"/>
    <xsd:import namespace="2d771bc3-17e2-454c-9f76-963ecc758d1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3c8b-6356-4806-aa2a-121d97f49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71bc3-17e2-454c-9f76-963ecc758d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a97475-f07b-42ac-967c-387dbdf32c5f}" ma:internalName="TaxCatchAll" ma:showField="CatchAllData" ma:web="2d771bc3-17e2-454c-9f76-963ecc758d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771bc3-17e2-454c-9f76-963ecc758d1d" xsi:nil="true"/>
    <Hyperlink xmlns="8bca3c8b-6356-4806-aa2a-121d97f49fdf">
      <Url xsi:nil="true"/>
      <Description xsi:nil="true"/>
    </Hyperlink>
    <lcf76f155ced4ddcb4097134ff3c332f xmlns="8bca3c8b-6356-4806-aa2a-121d97f49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69FC16-81EF-433A-8307-2AF90FC7B6AC}"/>
</file>

<file path=customXml/itemProps2.xml><?xml version="1.0" encoding="utf-8"?>
<ds:datastoreItem xmlns:ds="http://schemas.openxmlformats.org/officeDocument/2006/customXml" ds:itemID="{8BE062B6-99EE-4FB2-98E8-0C42B2C0AD4A}">
  <ds:schemaRefs>
    <ds:schemaRef ds:uri="http://schemas.microsoft.com/sharepoint/v3/contenttype/forms"/>
  </ds:schemaRefs>
</ds:datastoreItem>
</file>

<file path=customXml/itemProps3.xml><?xml version="1.0" encoding="utf-8"?>
<ds:datastoreItem xmlns:ds="http://schemas.openxmlformats.org/officeDocument/2006/customXml" ds:itemID="{FA01C035-1EFD-4B7A-9F50-F4F60F5562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Annex C</vt:lpstr>
    </vt:vector>
  </TitlesOfParts>
  <Company>Hewlett-Packard</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dc:title>
  <dc:subject/>
  <dc:creator>STEVE</dc:creator>
  <cp:keywords/>
  <cp:lastModifiedBy>Coy, Mat</cp:lastModifiedBy>
  <cp:revision>2</cp:revision>
  <cp:lastPrinted>2014-02-21T16:27:00Z</cp:lastPrinted>
  <dcterms:created xsi:type="dcterms:W3CDTF">2024-01-10T12:39:00Z</dcterms:created>
  <dcterms:modified xsi:type="dcterms:W3CDTF">2024-01-10T12:39:00Z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0x0101005C1E9DCF6170B442A0324CBE9F991A32</vt:lpwstr>
  </property>
</Properties>
</file>